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6EE" w:rsidRDefault="009926EE" w:rsidP="009926EE">
      <w:pPr>
        <w:shd w:val="clear" w:color="auto" w:fill="FFFFFF"/>
        <w:rPr>
          <w:rFonts w:eastAsia="Times New Roman" w:cs="Times New Roman"/>
          <w:b/>
          <w:bCs/>
          <w:color w:val="000000" w:themeColor="text1"/>
          <w:lang w:val="en-GB"/>
        </w:rPr>
      </w:pPr>
      <w:r w:rsidRPr="00A537DF">
        <w:rPr>
          <w:rFonts w:eastAsia="Times New Roman" w:cs="Times New Roman"/>
          <w:b/>
          <w:bCs/>
          <w:color w:val="000000" w:themeColor="text1"/>
          <w:lang w:val="en-GB"/>
        </w:rPr>
        <w:t xml:space="preserve">Application of Genotyping-By-Sequencing in Crosses of </w:t>
      </w:r>
      <w:bookmarkStart w:id="0" w:name="_GoBack"/>
      <w:r w:rsidRPr="00A537DF">
        <w:rPr>
          <w:rFonts w:eastAsia="Times New Roman" w:cs="Times New Roman"/>
          <w:b/>
          <w:bCs/>
          <w:color w:val="000000" w:themeColor="text1"/>
          <w:lang w:val="en-GB"/>
        </w:rPr>
        <w:t>Heterozygous Grapevines</w:t>
      </w:r>
      <w:bookmarkEnd w:id="0"/>
      <w:r w:rsidRPr="00A537DF">
        <w:rPr>
          <w:rFonts w:eastAsia="Times New Roman" w:cs="Times New Roman"/>
          <w:b/>
          <w:bCs/>
          <w:color w:val="000000" w:themeColor="text1"/>
          <w:lang w:val="en-GB"/>
        </w:rPr>
        <w:t>: Tools for Map Construction and Marker-Trait Association Testing</w:t>
      </w:r>
    </w:p>
    <w:p w:rsidR="009926EE" w:rsidRPr="00A537DF" w:rsidRDefault="009926EE" w:rsidP="009926EE">
      <w:pPr>
        <w:shd w:val="clear" w:color="auto" w:fill="FFFFFF"/>
        <w:rPr>
          <w:rFonts w:eastAsia="Times New Roman" w:cs="Times New Roman"/>
          <w:color w:val="000000" w:themeColor="text1"/>
          <w:lang w:val="en-GB"/>
        </w:rPr>
      </w:pPr>
    </w:p>
    <w:p w:rsidR="009926EE" w:rsidRDefault="009926EE" w:rsidP="009926EE">
      <w:pPr>
        <w:shd w:val="clear" w:color="auto" w:fill="FFFFFF"/>
        <w:rPr>
          <w:rFonts w:eastAsia="Times New Roman" w:cs="Times New Roman"/>
          <w:color w:val="000000" w:themeColor="text1"/>
          <w:lang w:val="en-GB"/>
        </w:rPr>
      </w:pPr>
      <w:r w:rsidRPr="00A537DF">
        <w:rPr>
          <w:rFonts w:eastAsia="Times New Roman" w:cs="Times New Roman"/>
          <w:color w:val="000000" w:themeColor="text1"/>
          <w:lang w:val="en-GB"/>
        </w:rPr>
        <w:t>Next generation sequencing in heterozygous mapping families brings both opportunities and challenges: larger and cheaper SNP sets are easier to produce, but prone to genotyping error and harder to handle as current software is not designed to process thousand</w:t>
      </w:r>
      <w:r>
        <w:rPr>
          <w:rFonts w:eastAsia="Times New Roman" w:cs="Times New Roman"/>
          <w:color w:val="000000" w:themeColor="text1"/>
          <w:lang w:val="en-GB"/>
        </w:rPr>
        <w:t>s of pseudo-testcross markers.</w:t>
      </w:r>
    </w:p>
    <w:p w:rsidR="009926EE" w:rsidRPr="00A537DF" w:rsidRDefault="009926EE" w:rsidP="009926EE">
      <w:pPr>
        <w:shd w:val="clear" w:color="auto" w:fill="FFFFFF"/>
        <w:rPr>
          <w:rFonts w:eastAsia="Times New Roman" w:cs="Times New Roman"/>
          <w:color w:val="000000" w:themeColor="text1"/>
          <w:lang w:val="en-GB"/>
        </w:rPr>
      </w:pPr>
    </w:p>
    <w:p w:rsidR="009926EE" w:rsidRPr="00A537DF" w:rsidRDefault="009926EE" w:rsidP="009926EE">
      <w:pPr>
        <w:shd w:val="clear" w:color="auto" w:fill="FFFFFF"/>
        <w:rPr>
          <w:rFonts w:eastAsia="Times New Roman" w:cs="Times New Roman"/>
          <w:color w:val="000000" w:themeColor="text1"/>
          <w:lang w:val="en-GB"/>
        </w:rPr>
      </w:pPr>
      <w:r w:rsidRPr="00A537DF">
        <w:rPr>
          <w:rFonts w:eastAsia="Times New Roman" w:cs="Times New Roman"/>
          <w:color w:val="000000" w:themeColor="text1"/>
          <w:lang w:val="en-GB"/>
        </w:rPr>
        <w:t xml:space="preserve">We used Genotyping-by-Sequencing (GBS) and the </w:t>
      </w:r>
      <w:proofErr w:type="spellStart"/>
      <w:r w:rsidRPr="00A537DF">
        <w:rPr>
          <w:rFonts w:eastAsia="Times New Roman" w:cs="Times New Roman"/>
          <w:i/>
          <w:iCs/>
          <w:color w:val="000000" w:themeColor="text1"/>
          <w:lang w:val="en-GB"/>
        </w:rPr>
        <w:t>Vitis</w:t>
      </w:r>
      <w:proofErr w:type="spellEnd"/>
      <w:r w:rsidRPr="00A537DF">
        <w:rPr>
          <w:rFonts w:eastAsia="Times New Roman" w:cs="Times New Roman"/>
          <w:i/>
          <w:iCs/>
          <w:color w:val="000000" w:themeColor="text1"/>
          <w:lang w:val="en-GB"/>
        </w:rPr>
        <w:t xml:space="preserve"> </w:t>
      </w:r>
      <w:proofErr w:type="spellStart"/>
      <w:r w:rsidRPr="00A537DF">
        <w:rPr>
          <w:rFonts w:eastAsia="Times New Roman" w:cs="Times New Roman"/>
          <w:i/>
          <w:iCs/>
          <w:color w:val="000000" w:themeColor="text1"/>
          <w:lang w:val="en-GB"/>
        </w:rPr>
        <w:t>vinifera</w:t>
      </w:r>
      <w:proofErr w:type="spellEnd"/>
      <w:r w:rsidRPr="00A537DF">
        <w:rPr>
          <w:rFonts w:eastAsia="Times New Roman" w:cs="Times New Roman"/>
          <w:i/>
          <w:iCs/>
          <w:color w:val="000000" w:themeColor="text1"/>
          <w:lang w:val="en-GB"/>
        </w:rPr>
        <w:t xml:space="preserve"> </w:t>
      </w:r>
      <w:r w:rsidRPr="00A537DF">
        <w:rPr>
          <w:rFonts w:eastAsia="Times New Roman" w:cs="Times New Roman"/>
          <w:color w:val="000000" w:themeColor="text1"/>
          <w:lang w:val="en-GB"/>
        </w:rPr>
        <w:t>‘PN40024’ 12X reference genome to generate more than 40,000 SNPs from 85 F</w:t>
      </w:r>
      <w:r w:rsidRPr="00A537DF">
        <w:rPr>
          <w:rFonts w:eastAsia="Times New Roman" w:cs="Times New Roman"/>
          <w:color w:val="000000" w:themeColor="text1"/>
          <w:vertAlign w:val="subscript"/>
          <w:lang w:val="en-GB"/>
        </w:rPr>
        <w:t xml:space="preserve">1 </w:t>
      </w:r>
      <w:proofErr w:type="spellStart"/>
      <w:r w:rsidRPr="00A537DF">
        <w:rPr>
          <w:rFonts w:eastAsia="Times New Roman" w:cs="Times New Roman"/>
          <w:color w:val="000000" w:themeColor="text1"/>
          <w:lang w:val="en-GB"/>
        </w:rPr>
        <w:t>segregant</w:t>
      </w:r>
      <w:proofErr w:type="spellEnd"/>
      <w:r w:rsidRPr="00A537DF">
        <w:rPr>
          <w:rFonts w:eastAsia="Times New Roman" w:cs="Times New Roman"/>
          <w:color w:val="000000" w:themeColor="text1"/>
          <w:lang w:val="en-GB"/>
        </w:rPr>
        <w:t xml:space="preserve"> of the cross of </w:t>
      </w:r>
      <w:proofErr w:type="spellStart"/>
      <w:r w:rsidRPr="00A537DF">
        <w:rPr>
          <w:rFonts w:eastAsia="Times New Roman" w:cs="Times New Roman"/>
          <w:i/>
          <w:iCs/>
          <w:color w:val="000000" w:themeColor="text1"/>
          <w:lang w:val="en-GB"/>
        </w:rPr>
        <w:t>Vitis</w:t>
      </w:r>
      <w:proofErr w:type="spellEnd"/>
      <w:r w:rsidRPr="00A537DF">
        <w:rPr>
          <w:rFonts w:eastAsia="Times New Roman" w:cs="Times New Roman"/>
          <w:i/>
          <w:iCs/>
          <w:color w:val="000000" w:themeColor="text1"/>
          <w:lang w:val="en-GB"/>
        </w:rPr>
        <w:t xml:space="preserve"> </w:t>
      </w:r>
      <w:proofErr w:type="spellStart"/>
      <w:r w:rsidRPr="00A537DF">
        <w:rPr>
          <w:rFonts w:eastAsia="Times New Roman" w:cs="Times New Roman"/>
          <w:i/>
          <w:iCs/>
          <w:color w:val="000000" w:themeColor="text1"/>
          <w:lang w:val="en-GB"/>
        </w:rPr>
        <w:t>rupestris</w:t>
      </w:r>
      <w:proofErr w:type="spellEnd"/>
      <w:r w:rsidRPr="00A537DF">
        <w:rPr>
          <w:rFonts w:eastAsia="Times New Roman" w:cs="Times New Roman"/>
          <w:i/>
          <w:iCs/>
          <w:color w:val="000000" w:themeColor="text1"/>
          <w:lang w:val="en-GB"/>
        </w:rPr>
        <w:t xml:space="preserve"> </w:t>
      </w:r>
      <w:r w:rsidRPr="00A537DF">
        <w:rPr>
          <w:rFonts w:eastAsia="Times New Roman" w:cs="Times New Roman"/>
          <w:color w:val="000000" w:themeColor="text1"/>
          <w:lang w:val="en-GB"/>
        </w:rPr>
        <w:t xml:space="preserve">B38 and </w:t>
      </w:r>
      <w:r w:rsidRPr="00A537DF">
        <w:rPr>
          <w:rFonts w:eastAsia="Times New Roman" w:cs="Times New Roman"/>
          <w:i/>
          <w:iCs/>
          <w:color w:val="000000" w:themeColor="text1"/>
          <w:lang w:val="en-GB"/>
        </w:rPr>
        <w:t xml:space="preserve">V. </w:t>
      </w:r>
      <w:proofErr w:type="spellStart"/>
      <w:r w:rsidRPr="00A537DF">
        <w:rPr>
          <w:rFonts w:eastAsia="Times New Roman" w:cs="Times New Roman"/>
          <w:i/>
          <w:iCs/>
          <w:color w:val="000000" w:themeColor="text1"/>
          <w:lang w:val="en-GB"/>
        </w:rPr>
        <w:t>vinifera</w:t>
      </w:r>
      <w:proofErr w:type="spellEnd"/>
      <w:r w:rsidRPr="00A537DF">
        <w:rPr>
          <w:rFonts w:eastAsia="Times New Roman" w:cs="Times New Roman"/>
          <w:color w:val="000000" w:themeColor="text1"/>
          <w:lang w:val="en-GB"/>
        </w:rPr>
        <w:t xml:space="preserve"> ‘Chardonnay’. Using simple filters such as minor allele frequency, linkage disequilibrium, and physical distance we selected a subset of molecular markers suitable for creating genetic maps in </w:t>
      </w:r>
      <w:proofErr w:type="spellStart"/>
      <w:r w:rsidRPr="00A537DF">
        <w:rPr>
          <w:rFonts w:eastAsia="Times New Roman" w:cs="Times New Roman"/>
          <w:color w:val="000000" w:themeColor="text1"/>
          <w:lang w:val="en-GB"/>
        </w:rPr>
        <w:t>JoinMap</w:t>
      </w:r>
      <w:proofErr w:type="spellEnd"/>
      <w:r w:rsidRPr="00A537DF">
        <w:rPr>
          <w:rFonts w:eastAsia="Times New Roman" w:cs="Times New Roman"/>
          <w:color w:val="000000" w:themeColor="text1"/>
          <w:lang w:val="en-GB"/>
        </w:rPr>
        <w:t xml:space="preserve"> 4.1. We obtained 19 linkage groups for each parental map with good coverage and correlation with the reference genome. Moreover, we were able to determine positions for SNPs tagged to unassembled portions of the 12X reference genome.  </w:t>
      </w:r>
    </w:p>
    <w:p w:rsidR="00A15E15" w:rsidRPr="009926EE" w:rsidRDefault="009926EE" w:rsidP="009926EE">
      <w:pPr>
        <w:tabs>
          <w:tab w:val="left" w:pos="0"/>
        </w:tabs>
        <w:rPr>
          <w:lang w:val="en-GB"/>
        </w:rPr>
      </w:pPr>
      <w:r w:rsidRPr="00A537DF">
        <w:rPr>
          <w:rFonts w:eastAsia="Times New Roman" w:cs="Times New Roman"/>
          <w:color w:val="000000" w:themeColor="text1"/>
          <w:lang w:val="en-GB"/>
        </w:rPr>
        <w:t xml:space="preserve">In conjunction with this genotyping effort, several large trait datasets are being generated within the </w:t>
      </w:r>
      <w:proofErr w:type="spellStart"/>
      <w:r w:rsidRPr="00A537DF">
        <w:rPr>
          <w:rFonts w:eastAsia="Times New Roman" w:cs="Times New Roman"/>
          <w:color w:val="000000" w:themeColor="text1"/>
          <w:lang w:val="en-GB"/>
        </w:rPr>
        <w:t>VitisGen</w:t>
      </w:r>
      <w:proofErr w:type="spellEnd"/>
      <w:r w:rsidRPr="00A537DF">
        <w:rPr>
          <w:rFonts w:eastAsia="Times New Roman" w:cs="Times New Roman"/>
          <w:color w:val="000000" w:themeColor="text1"/>
          <w:lang w:val="en-GB"/>
        </w:rPr>
        <w:t xml:space="preserve"> project, a USDA-NIFA SCRI funded research collaboration aimed to accelerate grapevine cultivar improvement.  We employed GBS-derived SNPs and TASSEL 4 to estimate heritability using kinship matrices and to identify single-marker associations for qualitative and quantitative traits </w:t>
      </w:r>
      <w:proofErr w:type="spellStart"/>
      <w:r w:rsidRPr="00A537DF">
        <w:rPr>
          <w:rFonts w:eastAsia="Times New Roman" w:cs="Times New Roman"/>
          <w:color w:val="000000" w:themeColor="text1"/>
          <w:lang w:val="en-GB"/>
        </w:rPr>
        <w:t>phenotyped</w:t>
      </w:r>
      <w:proofErr w:type="spellEnd"/>
      <w:r w:rsidRPr="00A537DF">
        <w:rPr>
          <w:rFonts w:eastAsia="Times New Roman" w:cs="Times New Roman"/>
          <w:color w:val="000000" w:themeColor="text1"/>
          <w:lang w:val="en-GB"/>
        </w:rPr>
        <w:t xml:space="preserve"> within F</w:t>
      </w:r>
      <w:r w:rsidRPr="00A537DF">
        <w:rPr>
          <w:rFonts w:eastAsia="Times New Roman" w:cs="Times New Roman"/>
          <w:color w:val="000000" w:themeColor="text1"/>
          <w:vertAlign w:val="subscript"/>
          <w:lang w:val="en-GB"/>
        </w:rPr>
        <w:t>1</w:t>
      </w:r>
      <w:r w:rsidRPr="00A537DF">
        <w:rPr>
          <w:rFonts w:eastAsia="Times New Roman" w:cs="Times New Roman"/>
          <w:color w:val="000000" w:themeColor="text1"/>
          <w:lang w:val="en-GB"/>
        </w:rPr>
        <w:t xml:space="preserve"> families of the </w:t>
      </w:r>
      <w:proofErr w:type="spellStart"/>
      <w:r w:rsidRPr="00A537DF">
        <w:rPr>
          <w:rFonts w:eastAsia="Times New Roman" w:cs="Times New Roman"/>
          <w:color w:val="000000" w:themeColor="text1"/>
          <w:lang w:val="en-GB"/>
        </w:rPr>
        <w:t>VitisGen</w:t>
      </w:r>
      <w:proofErr w:type="spellEnd"/>
      <w:r w:rsidRPr="00A537DF">
        <w:rPr>
          <w:rFonts w:eastAsia="Times New Roman" w:cs="Times New Roman"/>
          <w:color w:val="000000" w:themeColor="text1"/>
          <w:lang w:val="en-GB"/>
        </w:rPr>
        <w:t xml:space="preserve"> project.  The results obtained using TASSEL 4 were compared with segregation analysis and QTL mapping. Taken together, these analyses illustrate the successful application of the GBS method to identify marker-trait associations in heterozygous mapping families.</w:t>
      </w:r>
    </w:p>
    <w:sectPr w:rsidR="00A15E15" w:rsidRPr="009926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altName w:val="Heavy Heap"/>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6EE"/>
    <w:rsid w:val="009926EE"/>
    <w:rsid w:val="00A15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6EE"/>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6EE"/>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264</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cp:lastModifiedBy>
  <cp:revision>1</cp:revision>
  <dcterms:created xsi:type="dcterms:W3CDTF">2014-04-03T15:09:00Z</dcterms:created>
  <dcterms:modified xsi:type="dcterms:W3CDTF">2014-04-03T15:10:00Z</dcterms:modified>
</cp:coreProperties>
</file>